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480" w:line="276" w:lineRule="auto"/>
        <w:rPr/>
      </w:pPr>
      <w:bookmarkStart w:colFirst="0" w:colLast="0" w:name="_bydr8n7owa75" w:id="0"/>
      <w:bookmarkEnd w:id="0"/>
      <w:r w:rsidDel="00000000" w:rsidR="00000000" w:rsidRPr="00000000">
        <w:rPr>
          <w:rFonts w:ascii="Calibri" w:cs="Calibri" w:eastAsia="Calibri" w:hAnsi="Calibri"/>
          <w:color w:val="000000"/>
          <w:sz w:val="24"/>
          <w:szCs w:val="24"/>
        </w:rPr>
        <w:drawing>
          <wp:inline distB="114300" distT="114300" distL="114300" distR="114300">
            <wp:extent cx="5731200" cy="1270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400" w:lineRule="auto"/>
        <w:jc w:val="right"/>
        <w:rPr>
          <w:rFonts w:ascii="Arial" w:cs="Arial" w:eastAsia="Arial" w:hAnsi="Arial"/>
        </w:rPr>
      </w:pPr>
      <w:r w:rsidDel="00000000" w:rsidR="00000000" w:rsidRPr="00000000">
        <w:rPr>
          <w:rFonts w:ascii="Arial" w:cs="Arial" w:eastAsia="Arial" w:hAnsi="Arial"/>
          <w:rtl w:val="0"/>
        </w:rPr>
        <w:t xml:space="preserve">La Plata, 30  de junio de 2026.-</w:t>
      </w:r>
    </w:p>
    <w:p w:rsidR="00000000" w:rsidDel="00000000" w:rsidP="00000000" w:rsidRDefault="00000000" w:rsidRPr="00000000" w14:paraId="00000003">
      <w:pPr>
        <w:spacing w:after="400" w:lineRule="auto"/>
        <w:jc w:val="both"/>
        <w:rPr>
          <w:rFonts w:ascii="Arial" w:cs="Arial" w:eastAsia="Arial" w:hAnsi="Arial"/>
        </w:rPr>
      </w:pPr>
      <w:r w:rsidDel="00000000" w:rsidR="00000000" w:rsidRPr="00000000">
        <w:rPr>
          <w:rFonts w:ascii="Arial" w:cs="Arial" w:eastAsia="Arial" w:hAnsi="Arial"/>
          <w:rtl w:val="0"/>
        </w:rPr>
        <w:t xml:space="preserve">El Concejo Deliberante de la Ciudad de La Plata, en uso de las facultades que le confiere el Decreto-Ley nro. 6769/58 “Ley Orgánica de las Municipalidades” sanciona el siguiente proyecto de:</w:t>
      </w:r>
    </w:p>
    <w:p w:rsidR="00000000" w:rsidDel="00000000" w:rsidP="00000000" w:rsidRDefault="00000000" w:rsidRPr="00000000" w14:paraId="00000004">
      <w:pPr>
        <w:spacing w:after="400" w:lineRule="auto"/>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ORDENANZA</w:t>
      </w:r>
    </w:p>
    <w:p w:rsidR="00000000" w:rsidDel="00000000" w:rsidP="00000000" w:rsidRDefault="00000000" w:rsidRPr="00000000" w14:paraId="00000005">
      <w:pPr>
        <w:spacing w:after="200" w:before="300" w:lineRule="auto"/>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6">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I: Creación y Objetivos</w:t>
      </w:r>
      <w:r w:rsidDel="00000000" w:rsidR="00000000" w:rsidRPr="00000000">
        <w:rPr>
          <w:rtl w:val="0"/>
        </w:rPr>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 </w:t>
      </w:r>
      <w:r w:rsidDel="00000000" w:rsidR="00000000" w:rsidRPr="00000000">
        <w:rPr>
          <w:rFonts w:ascii="Arial" w:cs="Arial" w:eastAsia="Arial" w:hAnsi="Arial"/>
          <w:rtl w:val="0"/>
        </w:rPr>
        <w:t xml:space="preserve">Créase, en el ámbito del Partido de La Plata, el “Programa Municipal de Prevención y Protección para Personas Mayores y Personas en Situación de Vulnerabilidad”, el cual funcionará bajo la órbita de la Secretaría de Desarrollo Social, en coordinación directa con la Secretaría de Seguridad municipal, o los organismos que en el futuro las reemplacen.</w:t>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2°: </w:t>
      </w:r>
      <w:r w:rsidDel="00000000" w:rsidR="00000000" w:rsidRPr="00000000">
        <w:rPr>
          <w:rFonts w:ascii="Arial" w:cs="Arial" w:eastAsia="Arial" w:hAnsi="Arial"/>
          <w:rtl w:val="0"/>
        </w:rPr>
        <w:t xml:space="preserve">El Programa tendrá por objeto proveer, en forma gratuita, un dispositivo electrónico tipo “Pulsera o Reloj de Alerta” a las personas residentes en el Municipio que cumplan con los requisitos de la presente norma, garantizando una vía de comunicación directa, geolocalizada e inmediata ante emergencias en seguridad personal. </w:t>
      </w:r>
    </w:p>
    <w:p w:rsidR="00000000" w:rsidDel="00000000" w:rsidP="00000000" w:rsidRDefault="00000000" w:rsidRPr="00000000" w14:paraId="00000009">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II: Del Desarrollo Tecnológico y la Articulación Universitaria</w:t>
      </w:r>
      <w:r w:rsidDel="00000000" w:rsidR="00000000" w:rsidRPr="00000000">
        <w:rPr>
          <w:rtl w:val="0"/>
        </w:rPr>
      </w:r>
    </w:p>
    <w:p w:rsidR="00000000" w:rsidDel="00000000" w:rsidP="00000000" w:rsidRDefault="00000000" w:rsidRPr="00000000" w14:paraId="0000000A">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3°: </w:t>
      </w:r>
      <w:r w:rsidDel="00000000" w:rsidR="00000000" w:rsidRPr="00000000">
        <w:rPr>
          <w:rFonts w:ascii="Arial" w:cs="Arial" w:eastAsia="Arial" w:hAnsi="Arial"/>
          <w:rtl w:val="0"/>
        </w:rPr>
        <w:t xml:space="preserve">Facultase al Departamento Ejecutivo Municipal a celebrar convenios específicos de colaboración, asistencia técnica y desarrollo tecnológico con la Universidad Nacional de La Plata (UNLP) —priorizando las Facultades de Informática e Ingeniería— para el diseño del software, la programación de los dispositivos y el soporte del sistema de monitoreo de las Pulseras de Alerta.</w:t>
      </w:r>
    </w:p>
    <w:p w:rsidR="00000000" w:rsidDel="00000000" w:rsidP="00000000" w:rsidRDefault="00000000" w:rsidRPr="00000000" w14:paraId="0000000B">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4°: </w:t>
      </w:r>
      <w:r w:rsidDel="00000000" w:rsidR="00000000" w:rsidRPr="00000000">
        <w:rPr>
          <w:rFonts w:ascii="Arial" w:cs="Arial" w:eastAsia="Arial" w:hAnsi="Arial"/>
          <w:rtl w:val="0"/>
        </w:rPr>
        <w:t xml:space="preserve">Los dispositivos que se desarrollen bajo el presente Programa deberán contar, como mínimo, con tecnología de posicionamiento global (GPS) activa, botón de pánico de accionamiento simplificado, resistencia al agua, batería de larga duración y un sistema de comunicación directa en tiempo real que enlace el evento de alarma con la autoridad de aplicación.</w:t>
      </w:r>
    </w:p>
    <w:p w:rsidR="00000000" w:rsidDel="00000000" w:rsidP="00000000" w:rsidRDefault="00000000" w:rsidRPr="00000000" w14:paraId="0000000C">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III: De la Respuesta Inmediata y la Coordinación de Seguridad</w:t>
      </w:r>
      <w:r w:rsidDel="00000000" w:rsidR="00000000" w:rsidRPr="00000000">
        <w:rPr>
          <w:rtl w:val="0"/>
        </w:rPr>
      </w:r>
    </w:p>
    <w:p w:rsidR="00000000" w:rsidDel="00000000" w:rsidP="00000000" w:rsidRDefault="00000000" w:rsidRPr="00000000" w14:paraId="0000000D">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5°: </w:t>
      </w:r>
      <w:r w:rsidDel="00000000" w:rsidR="00000000" w:rsidRPr="00000000">
        <w:rPr>
          <w:rFonts w:ascii="Arial" w:cs="Arial" w:eastAsia="Arial" w:hAnsi="Arial"/>
          <w:rtl w:val="0"/>
        </w:rPr>
        <w:t xml:space="preserve">Facúltase al Departamento Ejecutivo Municipal a establecer, mediante convenio, una mesa operativa conjunta y permanente entre la Secretaría de Seguridad Ciudadana municipal y la Policía de la Provincia de Buenos Aires, a fin de que el accionamiento del dispositivo genere el despacho inmediato y en simultáneo de los móviles policiales del cuadrante, junto con los recursos municipales de prevención disponibles (Guardia Urbana de Prevención Municipal –GUP–, SAME o Defensa Civil, según corresponda).</w:t>
      </w:r>
    </w:p>
    <w:p w:rsidR="00000000" w:rsidDel="00000000" w:rsidP="00000000" w:rsidRDefault="00000000" w:rsidRPr="00000000" w14:paraId="0000000E">
      <w:pPr>
        <w:spacing w:after="200" w:before="3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F">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IV: De la Vinculación Interinstitucional (PAMI – ANSES)</w:t>
      </w:r>
      <w:r w:rsidDel="00000000" w:rsidR="00000000" w:rsidRPr="00000000">
        <w:rPr>
          <w:rtl w:val="0"/>
        </w:rPr>
      </w:r>
    </w:p>
    <w:p w:rsidR="00000000" w:rsidDel="00000000" w:rsidP="00000000" w:rsidRDefault="00000000" w:rsidRPr="00000000" w14:paraId="00000010">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6°: </w:t>
      </w:r>
      <w:r w:rsidDel="00000000" w:rsidR="00000000" w:rsidRPr="00000000">
        <w:rPr>
          <w:rFonts w:ascii="Arial" w:cs="Arial" w:eastAsia="Arial" w:hAnsi="Arial"/>
          <w:rtl w:val="0"/>
        </w:rPr>
        <w:t xml:space="preserve">Facúltase al Departamento Ejecutivo Municipal a celebrar convenios de cooperación e intercambio de información con el Instituto Nacional de Servicios Sociales para Jubilados y Pensionados (PAMI –UGL VII La Plata–) y con la Administración Nacional de la Seguridad Social (ANSES), con el objeto de:</w:t>
      </w:r>
    </w:p>
    <w:p w:rsidR="00000000" w:rsidDel="00000000" w:rsidP="00000000" w:rsidRDefault="00000000" w:rsidRPr="00000000" w14:paraId="00000011">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a) Agilizar el cruce de datos que acredite la condición de jubilado, pensionado o beneficiario de asignaciones por vulnerabilidad o discapacidad, al inicio del trámite municipal.</w:t>
      </w:r>
    </w:p>
    <w:p w:rsidR="00000000" w:rsidDel="00000000" w:rsidP="00000000" w:rsidRDefault="00000000" w:rsidRPr="00000000" w14:paraId="00000012">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b) Sincronizar, bajo estricto consentimiento del titular, la base de antecedentes médicos, alergias, patologías crónicas y medicación del afiliado, a fin de incorporar al Registro creado por el Artículo 8°.</w:t>
      </w:r>
    </w:p>
    <w:p w:rsidR="00000000" w:rsidDel="00000000" w:rsidP="00000000" w:rsidRDefault="00000000" w:rsidRPr="00000000" w14:paraId="00000013">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c) Coordinar el seguimiento de asistencia social post-emergencia, articulando los recursos médicos y terapéuticos de PAMI con los programas de contención locales.</w:t>
      </w:r>
    </w:p>
    <w:p w:rsidR="00000000" w:rsidDel="00000000" w:rsidP="00000000" w:rsidRDefault="00000000" w:rsidRPr="00000000" w14:paraId="00000014">
      <w:pPr>
        <w:spacing w:after="200" w:before="300" w:lineRule="auto"/>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5">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V: Del Registro, la Evaluación y el Protocolo de Seguimiento Periódico</w:t>
      </w:r>
      <w:r w:rsidDel="00000000" w:rsidR="00000000" w:rsidRPr="00000000">
        <w:rPr>
          <w:rtl w:val="0"/>
        </w:rPr>
      </w:r>
    </w:p>
    <w:p w:rsidR="00000000" w:rsidDel="00000000" w:rsidP="00000000" w:rsidRDefault="00000000" w:rsidRPr="00000000" w14:paraId="00000016">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7°: </w:t>
      </w:r>
      <w:r w:rsidDel="00000000" w:rsidR="00000000" w:rsidRPr="00000000">
        <w:rPr>
          <w:rFonts w:ascii="Arial" w:cs="Arial" w:eastAsia="Arial" w:hAnsi="Arial"/>
          <w:rtl w:val="0"/>
        </w:rPr>
        <w:t xml:space="preserve">Serán beneficiarios del Programa las personas que acrediten residencia permanente en el Partido de La Plata y reúnan alguna de las siguientes condiciones:</w:t>
      </w:r>
    </w:p>
    <w:p w:rsidR="00000000" w:rsidDel="00000000" w:rsidP="00000000" w:rsidRDefault="00000000" w:rsidRPr="00000000" w14:paraId="00000017">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a) Ser persona mayor (65 años o más) que resida sola o permanezca gran parte del día sin acompañamiento.</w:t>
      </w:r>
    </w:p>
    <w:p w:rsidR="00000000" w:rsidDel="00000000" w:rsidP="00000000" w:rsidRDefault="00000000" w:rsidRPr="00000000" w14:paraId="00000018">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b) Ser persona con discapacidad que afecte su autonomía y se encuentre en situación de riesgo ambiental o habitacional.</w:t>
      </w:r>
    </w:p>
    <w:p w:rsidR="00000000" w:rsidDel="00000000" w:rsidP="00000000" w:rsidRDefault="00000000" w:rsidRPr="00000000" w14:paraId="00000019">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c) Encontrarse en situación de extrema vulnerabilidad social o médica debidamente certificada por la autoridad de aplicación.</w:t>
      </w:r>
    </w:p>
    <w:p w:rsidR="00000000" w:rsidDel="00000000" w:rsidP="00000000" w:rsidRDefault="00000000" w:rsidRPr="00000000" w14:paraId="0000001A">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8°: </w:t>
      </w:r>
      <w:r w:rsidDel="00000000" w:rsidR="00000000" w:rsidRPr="00000000">
        <w:rPr>
          <w:rFonts w:ascii="Arial" w:cs="Arial" w:eastAsia="Arial" w:hAnsi="Arial"/>
          <w:rtl w:val="0"/>
        </w:rPr>
        <w:t xml:space="preserve">Créase el “Registro Municipal de Atención  y Cuidado Prioritario”, que funcionará bajo la órbita y responsabilidad directa de la Secretaría de Seguridad  municipal, en articulación con el Centro de Operaciones Municipal (COM).</w:t>
      </w:r>
    </w:p>
    <w:p w:rsidR="00000000" w:rsidDel="00000000" w:rsidP="00000000" w:rsidRDefault="00000000" w:rsidRPr="00000000" w14:paraId="0000001B">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9°: </w:t>
      </w:r>
      <w:r w:rsidDel="00000000" w:rsidR="00000000" w:rsidRPr="00000000">
        <w:rPr>
          <w:rFonts w:ascii="Arial" w:cs="Arial" w:eastAsia="Arial" w:hAnsi="Arial"/>
          <w:rtl w:val="0"/>
        </w:rPr>
        <w:t xml:space="preserve">La Secretaría de Seguridad Ciudadana dispondrá y publicitará una línea telefónica de contacto y WhatsApp específica, a cargo del personal a designar en el marco del presente Registro, para que los interesados, familiares o allegados puedan iniciar la solicitud del dispositivo, efectuar consultas e inscribirse formalmente.</w:t>
      </w:r>
    </w:p>
    <w:p w:rsidR="00000000" w:rsidDel="00000000" w:rsidP="00000000" w:rsidRDefault="00000000" w:rsidRPr="00000000" w14:paraId="0000001C">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10°: </w:t>
      </w:r>
      <w:r w:rsidDel="00000000" w:rsidR="00000000" w:rsidRPr="00000000">
        <w:rPr>
          <w:rFonts w:ascii="Arial" w:cs="Arial" w:eastAsia="Arial" w:hAnsi="Arial"/>
          <w:rtl w:val="0"/>
        </w:rPr>
        <w:t xml:space="preserve">Recibida la solicitud por los canales habilitados, la autoridad de aplicación dispondrá de un plazo máximo de quince (15) días hábiles para realizar una auditoría y evaluación socio-sanitaria presencial en el domicilio del solicitante, la que tendrá carácter previo y vinculante para el otorgamiento del dispositivo.</w:t>
      </w:r>
    </w:p>
    <w:p w:rsidR="00000000" w:rsidDel="00000000" w:rsidP="00000000" w:rsidRDefault="00000000" w:rsidRPr="00000000" w14:paraId="0000001D">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11°: </w:t>
      </w:r>
      <w:r w:rsidDel="00000000" w:rsidR="00000000" w:rsidRPr="00000000">
        <w:rPr>
          <w:rFonts w:ascii="Arial" w:cs="Arial" w:eastAsia="Arial" w:hAnsi="Arial"/>
          <w:rtl w:val="0"/>
        </w:rPr>
        <w:t xml:space="preserve">La evaluación domiciliaria estará a cargo de un Equipo Interdisciplinario de Evaluación Domiciliaria, integrado por:</w:t>
      </w:r>
    </w:p>
    <w:p w:rsidR="00000000" w:rsidDel="00000000" w:rsidP="00000000" w:rsidRDefault="00000000" w:rsidRPr="00000000" w14:paraId="0000001E">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a) Profesionales del Trabajo Social, pertenecientes a la Secretaría de Desarrollo de la Comunidad, para relevar la situación socioeconómica y las redes de contención.</w:t>
      </w:r>
    </w:p>
    <w:p w:rsidR="00000000" w:rsidDel="00000000" w:rsidP="00000000" w:rsidRDefault="00000000" w:rsidRPr="00000000" w14:paraId="0000001F">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b) Técnicos o profesionales en Seguridad Ciudadana y Gestión del Riesgo, pertenecientes a la Secretaría de Seguridad Ciudadana, encargados de verificar la infraestructura del hogar y realizar la georreferenciación exacta de la vivienda.</w:t>
      </w:r>
    </w:p>
    <w:p w:rsidR="00000000" w:rsidDel="00000000" w:rsidP="00000000" w:rsidRDefault="00000000" w:rsidRPr="00000000" w14:paraId="00000020">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12°: </w:t>
      </w:r>
      <w:r w:rsidDel="00000000" w:rsidR="00000000" w:rsidRPr="00000000">
        <w:rPr>
          <w:rFonts w:ascii="Arial" w:cs="Arial" w:eastAsia="Arial" w:hAnsi="Arial"/>
          <w:rtl w:val="0"/>
        </w:rPr>
        <w:t xml:space="preserve">Al momento de aprobarse la entrega del dispositivo, el Equipo Interdisciplinario dictará de manera obligatoria una jornada de capacitación, inducción y simulación de uso técnico dirigida al beneficiario y a su red de cuidado familiar o vecinal de cercanía. El dispositivo no será activado hasta tanto conste la comprensión efectiva del mecanismo de alerta por parte del beneficiario.</w:t>
      </w:r>
    </w:p>
    <w:p w:rsidR="00000000" w:rsidDel="00000000" w:rsidP="00000000" w:rsidRDefault="00000000" w:rsidRPr="00000000" w14:paraId="00000021">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13°: </w:t>
      </w:r>
      <w:r w:rsidDel="00000000" w:rsidR="00000000" w:rsidRPr="00000000">
        <w:rPr>
          <w:rFonts w:ascii="Arial" w:cs="Arial" w:eastAsia="Arial" w:hAnsi="Arial"/>
          <w:rtl w:val="0"/>
        </w:rPr>
        <w:t xml:space="preserve">Una vez efectivizado el ingreso del beneficiario al sistema, resultará obligatorio el cumplimiento del siguiente Protocolo de Seguimiento y Contacto Humano Periódico:</w:t>
      </w:r>
    </w:p>
    <w:p w:rsidR="00000000" w:rsidDel="00000000" w:rsidP="00000000" w:rsidRDefault="00000000" w:rsidRPr="00000000" w14:paraId="00000022">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a) Frecuencia mensual: personal técnico especializado del Centro de Operaciones Municipal (COM) o del área social municipal realizará una llamada de contacto obligatoria, a fin de verificar el estado de salud psicofísica del beneficiario, relevar nuevas necesidades y comprobar el correcto estado técnico y de batería de la Pulsera de Alerta.</w:t>
      </w:r>
    </w:p>
    <w:p w:rsidR="00000000" w:rsidDel="00000000" w:rsidP="00000000" w:rsidRDefault="00000000" w:rsidRPr="00000000" w14:paraId="00000023">
      <w:pPr>
        <w:spacing w:after="200" w:line="276" w:lineRule="auto"/>
        <w:ind w:left="400" w:firstLine="0"/>
        <w:jc w:val="both"/>
        <w:rPr>
          <w:rFonts w:ascii="Arial" w:cs="Arial" w:eastAsia="Arial" w:hAnsi="Arial"/>
        </w:rPr>
      </w:pPr>
      <w:r w:rsidDel="00000000" w:rsidR="00000000" w:rsidRPr="00000000">
        <w:rPr>
          <w:rFonts w:ascii="Arial" w:cs="Arial" w:eastAsia="Arial" w:hAnsi="Arial"/>
          <w:rtl w:val="0"/>
        </w:rPr>
        <w:t xml:space="preserve">b) Frecuencia semestral: el Equipo Interdisciplinario municipal, en coordinación con el área de vinculación comunitaria de la Comisaría Jurisdiccional correspondiente al domicilio, coordinará una visita presencial al hogar, con el fin de actualizar la situación de vulnerabilidad en el registro del COM y verificar de manera directa el entorno de seguridad del beneficiario.</w:t>
      </w:r>
    </w:p>
    <w:p w:rsidR="00000000" w:rsidDel="00000000" w:rsidP="00000000" w:rsidRDefault="00000000" w:rsidRPr="00000000" w14:paraId="00000024">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14°: </w:t>
      </w:r>
      <w:r w:rsidDel="00000000" w:rsidR="00000000" w:rsidRPr="00000000">
        <w:rPr>
          <w:rFonts w:ascii="Arial" w:cs="Arial" w:eastAsia="Arial" w:hAnsi="Arial"/>
          <w:rtl w:val="0"/>
        </w:rPr>
        <w:t xml:space="preserve">El Registro contendrá, con carácter estrictamente confidencial, los datos filiatorios del beneficiario, la ubicación geográfica exacta de la vivienda mediante georreferenciación, el informe de la evaluación domiciliaria, las novedades resultantes de las comunicaciones periódicas mensuales y semestrales, los antecedentes provistos por PAMI y ANSES, y el historial médico básico. Todo ello bajo el marco protector de la Ley Nacional N° 25.326 de Protección de los Datos Personales, con acceso restringido al personal expresamente autorizado del COM y de despacho policial, exclusivamente al momento de activarse la alerta.</w:t>
      </w:r>
    </w:p>
    <w:p w:rsidR="00000000" w:rsidDel="00000000" w:rsidP="00000000" w:rsidRDefault="00000000" w:rsidRPr="00000000" w14:paraId="00000025">
      <w:pPr>
        <w:spacing w:after="200" w:before="300" w:lineRule="auto"/>
        <w:jc w:val="left"/>
        <w:rPr>
          <w:rFonts w:ascii="Arial" w:cs="Arial" w:eastAsia="Arial" w:hAnsi="Arial"/>
        </w:rPr>
      </w:pPr>
      <w:r w:rsidDel="00000000" w:rsidR="00000000" w:rsidRPr="00000000">
        <w:rPr>
          <w:rFonts w:ascii="Arial" w:cs="Arial" w:eastAsia="Arial" w:hAnsi="Arial"/>
          <w:b w:val="1"/>
          <w:bCs w:val="1"/>
          <w:u w:val="single"/>
          <w:rtl w:val="0"/>
        </w:rPr>
        <w:t xml:space="preserve">CAPÍTULO VI: Financiamiento e Implementación</w:t>
      </w:r>
      <w:r w:rsidDel="00000000" w:rsidR="00000000" w:rsidRPr="00000000">
        <w:rPr>
          <w:rtl w:val="0"/>
        </w:rPr>
      </w:r>
    </w:p>
    <w:p w:rsidR="00000000" w:rsidDel="00000000" w:rsidP="00000000" w:rsidRDefault="00000000" w:rsidRPr="00000000" w14:paraId="00000026">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15°: </w:t>
      </w:r>
      <w:r w:rsidDel="00000000" w:rsidR="00000000" w:rsidRPr="00000000">
        <w:rPr>
          <w:rFonts w:ascii="Arial" w:cs="Arial" w:eastAsia="Arial" w:hAnsi="Arial"/>
          <w:rtl w:val="0"/>
        </w:rPr>
        <w:t xml:space="preserve">Los gastos que demande la implementación de la presente Ordenanza se imputarán a las partidas presupuestarias de la Secretaría de Seguridad Ciudadana y de la Secretaría de Desarrollo de la Comunidad del ejercicio vigente, facultándose al Departamento Ejecutivo Municipal a realizar las readecuaciones presupuestarias necesarias.</w:t>
      </w:r>
    </w:p>
    <w:p w:rsidR="00000000" w:rsidDel="00000000" w:rsidP="00000000" w:rsidRDefault="00000000" w:rsidRPr="00000000" w14:paraId="00000027">
      <w:pPr>
        <w:spacing w:after="200" w:line="276" w:lineRule="auto"/>
        <w:jc w:val="both"/>
        <w:rPr>
          <w:rFonts w:ascii="Arial" w:cs="Arial" w:eastAsia="Arial" w:hAnsi="Arial"/>
        </w:rPr>
      </w:pPr>
      <w:r w:rsidDel="00000000" w:rsidR="00000000" w:rsidRPr="00000000">
        <w:rPr>
          <w:rFonts w:ascii="Arial" w:cs="Arial" w:eastAsia="Arial" w:hAnsi="Arial"/>
          <w:b w:val="1"/>
          <w:bCs w:val="1"/>
          <w:rtl w:val="0"/>
        </w:rPr>
        <w:t xml:space="preserve">ARTÍCULO 16°: </w:t>
      </w:r>
      <w:r w:rsidDel="00000000" w:rsidR="00000000" w:rsidRPr="00000000">
        <w:rPr>
          <w:rFonts w:ascii="Arial" w:cs="Arial" w:eastAsia="Arial" w:hAnsi="Arial"/>
          <w:rtl w:val="0"/>
        </w:rPr>
        <w:t xml:space="preserve">El Departamento Ejecutivo Municipal reglamentará la presente Ordenanza dentro de los sesenta (60) días hábiles de su promulgación, debiendo convocar formalmente a las autoridades de la UNLP dentro de las primeras dos (2) semanas, a fin de iniciar el diseño del protocolo técnico.</w:t>
      </w:r>
    </w:p>
    <w:p w:rsidR="00000000" w:rsidDel="00000000" w:rsidP="00000000" w:rsidRDefault="00000000" w:rsidRPr="00000000" w14:paraId="00000028">
      <w:pPr>
        <w:spacing w:after="500" w:lineRule="auto"/>
        <w:rPr>
          <w:rFonts w:ascii="Arial" w:cs="Arial" w:eastAsia="Arial" w:hAnsi="Arial"/>
        </w:rPr>
      </w:pPr>
      <w:r w:rsidDel="00000000" w:rsidR="00000000" w:rsidRPr="00000000">
        <w:rPr>
          <w:rFonts w:ascii="Arial" w:cs="Arial" w:eastAsia="Arial" w:hAnsi="Arial"/>
          <w:b w:val="1"/>
          <w:bCs w:val="1"/>
          <w:rtl w:val="0"/>
        </w:rPr>
        <w:t xml:space="preserve">Artículo 17°: </w:t>
      </w:r>
      <w:r w:rsidDel="00000000" w:rsidR="00000000" w:rsidRPr="00000000">
        <w:rPr>
          <w:rFonts w:ascii="Arial" w:cs="Arial" w:eastAsia="Arial" w:hAnsi="Arial"/>
          <w:rtl w:val="0"/>
        </w:rPr>
        <w:t xml:space="preserve">De forma.</w:t>
      </w:r>
    </w:p>
    <w:p w:rsidR="00000000" w:rsidDel="00000000" w:rsidP="00000000" w:rsidRDefault="00000000" w:rsidRPr="00000000" w14:paraId="00000029">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A">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B">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C">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D">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E">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F">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0">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1">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2">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3">
      <w:pPr>
        <w:spacing w:after="300" w:before="200" w:lineRule="auto"/>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4">
      <w:pPr>
        <w:spacing w:after="300" w:before="200" w:lineRule="auto"/>
        <w:jc w:val="center"/>
        <w:rPr>
          <w:rFonts w:ascii="Arial" w:cs="Arial" w:eastAsia="Arial" w:hAnsi="Arial"/>
        </w:rPr>
      </w:pPr>
      <w:r w:rsidDel="00000000" w:rsidR="00000000" w:rsidRPr="00000000">
        <w:rPr>
          <w:rFonts w:ascii="Arial" w:cs="Arial" w:eastAsia="Arial" w:hAnsi="Arial"/>
          <w:b w:val="1"/>
          <w:bCs w:val="1"/>
          <w:u w:val="single"/>
          <w:rtl w:val="0"/>
        </w:rPr>
        <w:t xml:space="preserve">FUNDAMENTOS</w:t>
      </w:r>
      <w:r w:rsidDel="00000000" w:rsidR="00000000" w:rsidRPr="00000000">
        <w:rPr>
          <w:rtl w:val="0"/>
        </w:rPr>
      </w:r>
    </w:p>
    <w:p w:rsidR="00000000" w:rsidDel="00000000" w:rsidP="00000000" w:rsidRDefault="00000000" w:rsidRPr="00000000" w14:paraId="0000003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El presente proyecto de ordenanza responde a la necesidad de garantizar la seguridad, la integridad física y la asistencia inmediata de las personas mayores y de aquellas en situación de vulnerabilidad en el Partido de La Plata, mediante la incorporación de herramientas tecnológicas de alerta temprana, un padrón municipal debidamente resguardado y un esquema de acompañamiento humano sostenido en el tiempo.</w:t>
      </w:r>
    </w:p>
    <w:p w:rsidR="00000000" w:rsidDel="00000000" w:rsidP="00000000" w:rsidRDefault="00000000" w:rsidRPr="00000000" w14:paraId="00000036">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Marco normativo e institucional</w:t>
      </w:r>
      <w:r w:rsidDel="00000000" w:rsidR="00000000" w:rsidRPr="00000000">
        <w:rPr>
          <w:rtl w:val="0"/>
        </w:rPr>
      </w:r>
    </w:p>
    <w:p w:rsidR="00000000" w:rsidDel="00000000" w:rsidP="00000000" w:rsidRDefault="00000000" w:rsidRPr="00000000" w14:paraId="00000037">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La Convención Interamericana sobre la Protección de los Derechos Humanos de las Personas Mayores, ratificada por la República Argentina mediante Ley N° 27.360, impone a los Estados el deber de adoptar medidas de protección específicas frente a situaciones de riesgo y emergencia. En el mismo sentido, el artículo 27 de la Ley Orgánica de las Municipalidades (Decreto-Ley N° 6769/58) faculta a este Concejo Deliberante a dictar ordenanzas en materias vinculadas a la seguridad, la salud y la asistencia social de los vecinos y vecinas del Partido.</w:t>
      </w:r>
    </w:p>
    <w:p w:rsidR="00000000" w:rsidDel="00000000" w:rsidP="00000000" w:rsidRDefault="00000000" w:rsidRPr="00000000" w14:paraId="00000038">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Situación delictiva local y regional</w:t>
      </w:r>
      <w:r w:rsidDel="00000000" w:rsidR="00000000" w:rsidRPr="00000000">
        <w:rPr>
          <w:rtl w:val="0"/>
        </w:rPr>
      </w:r>
    </w:p>
    <w:p w:rsidR="00000000" w:rsidDel="00000000" w:rsidP="00000000" w:rsidRDefault="00000000" w:rsidRPr="00000000" w14:paraId="0000003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Diversos relevamientos periodísticos basados en causas iniciadas en fiscalías del Área Metropolitana de Buenos Aires (AMBA) durante los últimos meses coinciden en señalar que los delitos bajo la modalidad de “entraderas” contra personas mayores constituyen un fenómeno en franco crecimiento, con estimaciones que varían entre 55 y 100 hechos diarios según la fuente y el período considerado. Estos hechos comparten un patrón reiterado: bandas que realizan tareas de inteligencia previa para identificar viviendas habitadas por jubilados o por personas que residen solas, aprovechando su menor capacidad de resistencia física.</w:t>
      </w:r>
    </w:p>
    <w:p w:rsidR="00000000" w:rsidDel="00000000" w:rsidP="00000000" w:rsidRDefault="00000000" w:rsidRPr="00000000" w14:paraId="0000003A">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El Partido de La Plata no resulta ajeno a esta problemática. En los últimos meses se registraron hechos de esta naturaleza en distintas zonas del distrito —entre ellas Casco Urbano, Los Hornos, Gonnet, Ringuelet, Tolosa y Lisandro Olmos—, con ingresos violentos a domicilios de adultos mayores tanto en horario nocturno como diurno. La vulnerabilidad física propia de la edad avanzada o de la movilidad reducida dificulta, en muchos casos, alcanzar el teléfono o activar una alarma vecinal durante la irrupción delictiva, lo que reafirma la necesidad de un mecanismo de auxilio silencioso, portátil y de activación instintiva.</w:t>
      </w:r>
    </w:p>
    <w:p w:rsidR="00000000" w:rsidDel="00000000" w:rsidP="00000000" w:rsidRDefault="00000000" w:rsidRPr="00000000" w14:paraId="0000003B">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La solución tecnológica y la alianza con la Universidad Nacional de La Plata</w:t>
      </w:r>
      <w:r w:rsidDel="00000000" w:rsidR="00000000" w:rsidRPr="00000000">
        <w:rPr>
          <w:rtl w:val="0"/>
        </w:rPr>
      </w:r>
    </w:p>
    <w:p w:rsidR="00000000" w:rsidDel="00000000" w:rsidP="00000000" w:rsidRDefault="00000000" w:rsidRPr="00000000" w14:paraId="0000003C">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Ante este escenario, el Estado municipal no puede permanecer como un espectador pasivo. Una pulsera o reloj con botón de pánico y geolocalización satelital (GPS) constituye una herramienta de protección portátil las veinticuatro horas del día. El proyecto no propone delegar el desarrollo del software a proveedores privados de alto costo, sino articular con la Universidad Nacional de La Plata —institución de referencia científica y tecnológica de nuestra ciudad— el diseño del sistema, garantizando soberanía tecnológica, transparencia en los costos y un desarrollo a medida de las necesidades operativas del Centro de Operaciones Municipal (COM).</w:t>
      </w:r>
    </w:p>
    <w:p w:rsidR="00000000" w:rsidDel="00000000" w:rsidP="00000000" w:rsidRDefault="00000000" w:rsidRPr="00000000" w14:paraId="0000003D">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Coordinación multiagencial: el rol de PAMI y ANSES</w:t>
      </w:r>
      <w:r w:rsidDel="00000000" w:rsidR="00000000" w:rsidRPr="00000000">
        <w:rPr>
          <w:rtl w:val="0"/>
        </w:rPr>
      </w:r>
    </w:p>
    <w:p w:rsidR="00000000" w:rsidDel="00000000" w:rsidP="00000000" w:rsidRDefault="00000000" w:rsidRPr="00000000" w14:paraId="0000003E">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Ninguna política de protección de la vejez resulta efectiva si funciona de manera aislada. La incorporación de PAMI y ANSES como socios estratégicos permite agilizar la validación de la condición de vulnerabilidad de los solicitantes, evitar trámites redundantes y, con el consentimiento expreso del titular, precargar antecedentes médicos básicos que resulten útiles para el personal del COM y los servicios de emergencia al momento de activarse una alerta.</w:t>
      </w:r>
    </w:p>
    <w:p w:rsidR="00000000" w:rsidDel="00000000" w:rsidP="00000000" w:rsidRDefault="00000000" w:rsidRPr="00000000" w14:paraId="0000003F">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El conocimiento territorial como herramienta de prevención </w:t>
      </w:r>
      <w:r w:rsidDel="00000000" w:rsidR="00000000" w:rsidRPr="00000000">
        <w:rPr>
          <w:rtl w:val="0"/>
        </w:rPr>
      </w:r>
    </w:p>
    <w:p w:rsidR="00000000" w:rsidDel="00000000" w:rsidP="00000000" w:rsidRDefault="00000000" w:rsidRPr="00000000" w14:paraId="00000040">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La seguridad pública moderna exige superar el modelo exclusivamente reactivo. El conocimiento actualizado, por parte de cada dependencia policial jurisdiccional, de las personas mayores y vulnerables que residen solas en su área de responsabilidad constituye un insumo básico para orientar el patrullaje preventivo. En este sentido, el Registro Municipal creado por la presente Ordenanza, junto con las visitas semestrales previstas en el Artículo 13°, aporta a las Comisarías Jurisdiccionales información actualizada sobre los hogares con mayor grado de exposición, en articulación con el esquema de despliegue territorial de la Guardia Urbana de Prevención Municipal (GUP), creada por Ordenanza N° 11.722/2018 y organizada en sesenta (60) cuadrículas como primer nivel de disuasión en la vía pública, y del Centro de Operaciones Municipal (COM).</w:t>
      </w:r>
    </w:p>
    <w:p w:rsidR="00000000" w:rsidDel="00000000" w:rsidP="00000000" w:rsidRDefault="00000000" w:rsidRPr="00000000" w14:paraId="00000041">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Eficiencia operativa, plazos y formación ciudadana</w:t>
      </w:r>
      <w:r w:rsidDel="00000000" w:rsidR="00000000" w:rsidRPr="00000000">
        <w:rPr>
          <w:rtl w:val="0"/>
        </w:rPr>
      </w:r>
    </w:p>
    <w:p w:rsidR="00000000" w:rsidDel="00000000" w:rsidP="00000000" w:rsidRDefault="00000000" w:rsidRPr="00000000" w14:paraId="00000042">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La asignación de un recurso tecnológico crítico como estas pulseras electrónicas debe realizarse bajo criterios de justicia social, eficiencia y cercanía vecinal. Por ello se fija un plazo estricto de quince (15) días hábiles para concretar la evaluación socio-sanitaria presencial, ejecutada por un equipo interdisciplinario que transparenta el proceso de otorgamiento y permite relevar en el terreno las condiciones reales de habitabilidad y las redes de contención familiar de cada solicitante. Asimismo, la capacitación obligatoria previa a la entrega del dispositivo resulta indispensable para minimizar los falsos positivos por desconocimiento y maximizar su efectividad ante una emergencia real.</w:t>
      </w:r>
    </w:p>
    <w:p w:rsidR="00000000" w:rsidDel="00000000" w:rsidP="00000000" w:rsidRDefault="00000000" w:rsidRPr="00000000" w14:paraId="00000043">
      <w:pPr>
        <w:spacing w:after="120" w:before="240" w:lineRule="auto"/>
        <w:rPr>
          <w:rFonts w:ascii="Arial" w:cs="Arial" w:eastAsia="Arial" w:hAnsi="Arial"/>
        </w:rPr>
      </w:pPr>
      <w:r w:rsidDel="00000000" w:rsidR="00000000" w:rsidRPr="00000000">
        <w:rPr>
          <w:rFonts w:ascii="Arial" w:cs="Arial" w:eastAsia="Arial" w:hAnsi="Arial"/>
          <w:b w:val="1"/>
          <w:bCs w:val="1"/>
          <w:rtl w:val="0"/>
        </w:rPr>
        <w:t xml:space="preserve">Protocolo de seguimiento y contacto humano periódico</w:t>
      </w:r>
      <w:r w:rsidDel="00000000" w:rsidR="00000000" w:rsidRPr="00000000">
        <w:rPr>
          <w:rtl w:val="0"/>
        </w:rPr>
      </w:r>
    </w:p>
    <w:p w:rsidR="00000000" w:rsidDel="00000000" w:rsidP="00000000" w:rsidRDefault="00000000" w:rsidRPr="00000000" w14:paraId="00000044">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La tecnología, por sí sola, no reemplaza la presencia del Estado ni los lazos de cercanía vecinal. Por tal motivo, la presente Ordenanza establece un mecanismo obligatorio de contacto humano periódico: llamadas mensuales a cargo del Centro de Operaciones Municipal o del área social municipal, que permiten testear el funcionamiento técnico del dispositivo y brindar un espacio de escucha activa a una población que en numerosos casos atraviesa situaciones de soledad; y visitas semestrales coordinadas con la Comisaría Jurisdiccional correspondiente, que fortalecen los lazos de confianza entre el vecino y las fuerzas de seguridad territoriales.</w:t>
      </w:r>
    </w:p>
    <w:p w:rsidR="00000000" w:rsidDel="00000000" w:rsidP="00000000" w:rsidRDefault="00000000" w:rsidRPr="00000000" w14:paraId="0000004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Por los motivos expuestos, se solicita a los señores concejales y a las señoras concejalas acompañar con su voto afirmativo el presente Proyecto de Ordenanza.</w:t>
      </w:r>
    </w:p>
    <w:p w:rsidR="00000000" w:rsidDel="00000000" w:rsidP="00000000" w:rsidRDefault="00000000" w:rsidRPr="00000000" w14:paraId="00000046">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200" w:line="276" w:lineRule="auto"/>
        <w:jc w:val="both"/>
        <w:rPr>
          <w:rFonts w:ascii="Arial" w:cs="Arial" w:eastAsia="Arial" w:hAnsi="Arial"/>
        </w:rPr>
      </w:pPr>
      <w:r w:rsidDel="00000000" w:rsidR="00000000" w:rsidRPr="00000000">
        <w:rPr>
          <w:rtl w:val="0"/>
        </w:rPr>
      </w:r>
    </w:p>
    <w:sectPr>
      <w:pgSz w:h="16838" w:w="11906" w:orient="portrait"/>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