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sz w:val="24"/>
          <w:szCs w:val="24"/>
        </w:rPr>
      </w:pPr>
      <w:bookmarkStart w:colFirst="0" w:colLast="0" w:name="_myf3bspzxh5v" w:id="0"/>
      <w:bookmarkEnd w:id="0"/>
      <w:r w:rsidDel="00000000" w:rsidR="00000000" w:rsidRPr="00000000">
        <w:rPr>
          <w:rFonts w:ascii="Calibri" w:cs="Calibri" w:eastAsia="Calibri" w:hAnsi="Calibri"/>
          <w:sz w:val="22"/>
          <w:szCs w:val="22"/>
        </w:rPr>
        <w:drawing>
          <wp:inline distB="114300" distT="114300" distL="114300" distR="114300">
            <wp:extent cx="5943600" cy="1320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08"/>
        </w:tabs>
        <w:spacing w:line="360" w:lineRule="auto"/>
        <w:jc w:val="right"/>
        <w:rPr/>
      </w:pPr>
      <w:bookmarkStart w:colFirst="0" w:colLast="0" w:name="_gjdgxs" w:id="1"/>
      <w:bookmarkEnd w:id="1"/>
      <w:r w:rsidDel="00000000" w:rsidR="00000000" w:rsidRPr="00000000">
        <w:rPr>
          <w:rtl w:val="0"/>
        </w:rPr>
        <w:t xml:space="preserve">La Plata, 1 de Junio de 2026.-</w:t>
      </w:r>
    </w:p>
    <w:p w:rsidR="00000000" w:rsidDel="00000000" w:rsidP="00000000" w:rsidRDefault="00000000" w:rsidRPr="00000000" w14:paraId="00000003">
      <w:pPr>
        <w:tabs>
          <w:tab w:val="left" w:leader="none" w:pos="708"/>
        </w:tabs>
        <w:spacing w:line="360" w:lineRule="auto"/>
        <w:jc w:val="right"/>
        <w:rPr/>
      </w:pPr>
      <w:bookmarkStart w:colFirst="0" w:colLast="0" w:name="_x704yx8lzjpp" w:id="2"/>
      <w:bookmarkEnd w:id="2"/>
      <w:r w:rsidDel="00000000" w:rsidR="00000000" w:rsidRPr="00000000">
        <w:rPr>
          <w:rtl w:val="0"/>
        </w:rPr>
      </w:r>
    </w:p>
    <w:p w:rsidR="00000000" w:rsidDel="00000000" w:rsidP="00000000" w:rsidRDefault="00000000" w:rsidRPr="00000000" w14:paraId="00000004">
      <w:pPr>
        <w:spacing w:after="200" w:line="360" w:lineRule="auto"/>
        <w:jc w:val="both"/>
        <w:rPr/>
      </w:pPr>
      <w:r w:rsidDel="00000000" w:rsidR="00000000" w:rsidRPr="00000000">
        <w:rPr>
          <w:rtl w:val="0"/>
        </w:rPr>
        <w:t xml:space="preserve">El Concejo Deliberante de la Ciudad de La Plata, en uso de las facultades que le confiere el Decreto-Ley nro. 6769/58 “Ley Orgánica de Municipalidades” sanciona el siguiente proyecto de:</w:t>
      </w:r>
    </w:p>
    <w:p w:rsidR="00000000" w:rsidDel="00000000" w:rsidP="00000000" w:rsidRDefault="00000000" w:rsidRPr="00000000" w14:paraId="00000005">
      <w:pPr>
        <w:pStyle w:val="Heading1"/>
        <w:keepNext w:val="0"/>
        <w:keepLines w:val="0"/>
        <w:spacing w:before="480" w:lineRule="auto"/>
        <w:jc w:val="center"/>
        <w:rPr>
          <w:b w:val="1"/>
          <w:bCs w:val="1"/>
          <w:sz w:val="22"/>
          <w:szCs w:val="22"/>
          <w:u w:val="single"/>
        </w:rPr>
      </w:pPr>
      <w:bookmarkStart w:colFirst="0" w:colLast="0" w:name="_45xt9bh607nf" w:id="3"/>
      <w:bookmarkEnd w:id="3"/>
      <w:r w:rsidDel="00000000" w:rsidR="00000000" w:rsidRPr="00000000">
        <w:rPr>
          <w:b w:val="1"/>
          <w:bCs w:val="1"/>
          <w:sz w:val="22"/>
          <w:szCs w:val="22"/>
          <w:u w:val="single"/>
          <w:rtl w:val="0"/>
        </w:rPr>
        <w:t xml:space="preserve">RESOLUCIÓN</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b w:val="1"/>
          <w:bCs w:val="1"/>
          <w:rtl w:val="0"/>
        </w:rPr>
        <w:t xml:space="preserve">ARTÍCULO 1°: </w:t>
      </w:r>
      <w:r w:rsidDel="00000000" w:rsidR="00000000" w:rsidRPr="00000000">
        <w:rPr>
          <w:rtl w:val="0"/>
        </w:rPr>
        <w:t xml:space="preserve">Solicitar al Departamento Ejecutivo Municipal que, en ejercicio de sus atribuciones en materia de seguridad pública y coordinación institucional, promueva con carácter de urgencia ante el Gobierno de la Provincia de Buenos Aires —y específicamente ante el Ministerio de Seguridad provincial— la modernización estructural e integral de la Estación de Policía Departamental de La Plata, a fin de adecuar su organización y despliegue operativo a las demandas de seguridad que plantea el escenario urbano actual del distrito.</w:t>
      </w:r>
    </w:p>
    <w:p w:rsidR="00000000" w:rsidDel="00000000" w:rsidP="00000000" w:rsidRDefault="00000000" w:rsidRPr="00000000" w14:paraId="00000008">
      <w:pPr>
        <w:spacing w:after="240" w:before="240" w:line="360" w:lineRule="auto"/>
        <w:jc w:val="both"/>
        <w:rPr/>
      </w:pPr>
      <w:r w:rsidDel="00000000" w:rsidR="00000000" w:rsidRPr="00000000">
        <w:rPr>
          <w:b w:val="1"/>
          <w:bCs w:val="1"/>
          <w:rtl w:val="0"/>
        </w:rPr>
        <w:t xml:space="preserve">ARTÍCULO 2°: </w:t>
      </w:r>
      <w:r w:rsidDel="00000000" w:rsidR="00000000" w:rsidRPr="00000000">
        <w:rPr>
          <w:rtl w:val="0"/>
        </w:rPr>
        <w:t xml:space="preserve">Solicitar al Departamento Ejecutivo Municipal que, en el marco de dicha modernización, impulse ante la autoridad provincial competente la reestructuración orgánica y funcional de las fuerzas de seguridad afectadas al partido de La Plata, disponiendo la disolución progresiva y ordenada de las bases operativas del Comando de Patrullas y la derivación de la totalidad de su personal técnico-operativo, flota de vehículos y recursos logísticos hacia las dieciséis (16) Comisarías Jurisdiccionales del partido, como eje del nuevo modelo de seguridad de proximidad.</w:t>
      </w:r>
    </w:p>
    <w:p w:rsidR="00000000" w:rsidDel="00000000" w:rsidP="00000000" w:rsidRDefault="00000000" w:rsidRPr="00000000" w14:paraId="00000009">
      <w:pPr>
        <w:spacing w:after="240" w:before="240" w:line="360" w:lineRule="auto"/>
        <w:jc w:val="both"/>
        <w:rPr/>
      </w:pPr>
      <w:r w:rsidDel="00000000" w:rsidR="00000000" w:rsidRPr="00000000">
        <w:rPr>
          <w:b w:val="1"/>
          <w:bCs w:val="1"/>
          <w:rtl w:val="0"/>
        </w:rPr>
        <w:t xml:space="preserve">ARTÍCULO 3°: </w:t>
      </w:r>
      <w:r w:rsidDel="00000000" w:rsidR="00000000" w:rsidRPr="00000000">
        <w:rPr>
          <w:rtl w:val="0"/>
        </w:rPr>
        <w:t xml:space="preserve">Solicitar que dicha reasignación de medios y efectivos propenda a la consolidación de un modelo de Prevención del Delito por Proximidad, garantizando patrullajes constantes, planificados e ininterrumpidos en cada una de las jurisdicciones, bajo la conducción directa del titular de la comisaría correspondiente, con plena responsabilidad territorial sobre la tasa delictiva de su radio de actuación.</w:t>
      </w:r>
    </w:p>
    <w:p w:rsidR="00000000" w:rsidDel="00000000" w:rsidP="00000000" w:rsidRDefault="00000000" w:rsidRPr="00000000" w14:paraId="0000000A">
      <w:pPr>
        <w:spacing w:after="240" w:before="240" w:line="360" w:lineRule="auto"/>
        <w:jc w:val="both"/>
        <w:rPr/>
      </w:pPr>
      <w:r w:rsidDel="00000000" w:rsidR="00000000" w:rsidRPr="00000000">
        <w:rPr>
          <w:b w:val="1"/>
          <w:bCs w:val="1"/>
          <w:rtl w:val="0"/>
        </w:rPr>
        <w:t xml:space="preserve">ARTÍCULO 4°: </w:t>
      </w:r>
      <w:r w:rsidDel="00000000" w:rsidR="00000000" w:rsidRPr="00000000">
        <w:rPr>
          <w:rtl w:val="0"/>
        </w:rPr>
        <w:t xml:space="preserve">Solicitar la constitución obligatoria de una Mesa de Coordinación y Planificación Preventiva de periodicidad semanal, coordinada por la Jefatura Departamental e integrada formalmente por los titulares de las dieciséis (16) Comisarías Jurisdiccionales del distrito y las autoridades provinciales con competencia en Inteligencia Criminal. Dicha mesa tendrá como misión el cruzamiento sistemático de datos analíticos para la elaboración predictiva y dinámica del Mapa del Delito local, orientando los recursos de saturación hacia los cuadrantes y franjas horarias de mayor vulnerabilidad.</w:t>
      </w:r>
    </w:p>
    <w:p w:rsidR="00000000" w:rsidDel="00000000" w:rsidP="00000000" w:rsidRDefault="00000000" w:rsidRPr="00000000" w14:paraId="0000000B">
      <w:pPr>
        <w:spacing w:after="240" w:before="240" w:line="360" w:lineRule="auto"/>
        <w:jc w:val="both"/>
        <w:rPr/>
      </w:pPr>
      <w:r w:rsidDel="00000000" w:rsidR="00000000" w:rsidRPr="00000000">
        <w:rPr>
          <w:b w:val="1"/>
          <w:bCs w:val="1"/>
          <w:rtl w:val="0"/>
        </w:rPr>
        <w:t xml:space="preserve">ARTÍCULO 5°: </w:t>
      </w:r>
      <w:r w:rsidDel="00000000" w:rsidR="00000000" w:rsidRPr="00000000">
        <w:rPr>
          <w:rtl w:val="0"/>
        </w:rPr>
        <w:t xml:space="preserve">Solicitar que los recursos humanos y materiales recuperados del Comando de Patrullas sean destinados, con carácter prioritario, a garantizar presencia policial permanente y disuasiva en los puntos de mayor masividad y circulación ciudadana identificados por el Mapa del Delito, tales como paradas de transporte público, establecimientos educativos, centros de salud, entidades bancarias, corredores comerciales y zonas céntricas de alta concentración peatonal.</w:t>
      </w:r>
    </w:p>
    <w:p w:rsidR="00000000" w:rsidDel="00000000" w:rsidP="00000000" w:rsidRDefault="00000000" w:rsidRPr="00000000" w14:paraId="0000000C">
      <w:pPr>
        <w:spacing w:after="240" w:before="240" w:line="360" w:lineRule="auto"/>
        <w:jc w:val="both"/>
        <w:rPr/>
      </w:pPr>
      <w:r w:rsidDel="00000000" w:rsidR="00000000" w:rsidRPr="00000000">
        <w:rPr>
          <w:b w:val="1"/>
          <w:bCs w:val="1"/>
          <w:rtl w:val="0"/>
        </w:rPr>
        <w:t xml:space="preserve">ARTÍCULO 6°:</w:t>
      </w:r>
      <w:r w:rsidDel="00000000" w:rsidR="00000000" w:rsidRPr="00000000">
        <w:rPr>
          <w:rtl w:val="0"/>
        </w:rPr>
        <w:t xml:space="preserve"> Solicitar que el despliegue territorial descentralizado propuesto sea complementado con la centralización tecnológica en un Centro de Operaciones Departamental (COD) equipado con sistema de geolocalización vehicular (AVL), integrado operativamente con las cámaras y plataformas del Centro de Operaciones Municipal (COM), asegurando la capacidad de respuesta inmediata y la coordinación de dispositivos de bloqueo ante situaciones que comprometan más de una jurisdicción policial.</w:t>
      </w:r>
    </w:p>
    <w:p w:rsidR="00000000" w:rsidDel="00000000" w:rsidP="00000000" w:rsidRDefault="00000000" w:rsidRPr="00000000" w14:paraId="0000000D">
      <w:pPr>
        <w:spacing w:after="240" w:before="240" w:line="360" w:lineRule="auto"/>
        <w:jc w:val="both"/>
        <w:rPr/>
      </w:pPr>
      <w:r w:rsidDel="00000000" w:rsidR="00000000" w:rsidRPr="00000000">
        <w:rPr>
          <w:b w:val="1"/>
          <w:bCs w:val="1"/>
          <w:rtl w:val="0"/>
        </w:rPr>
        <w:t xml:space="preserve">ARTÍCULO 7°: </w:t>
      </w:r>
      <w:r w:rsidDel="00000000" w:rsidR="00000000" w:rsidRPr="00000000">
        <w:rPr>
          <w:rtl w:val="0"/>
        </w:rPr>
        <w:t xml:space="preserve">Remitir copia de la presente resolución, junto con los fundamentos que le sirven de sustento, al Ministerio de Seguridad de la Provincia de Buenos Aires, a las Honorables Cámaras de Diputados y Senadores de la Provincia de Buenos Aires, y al Departamento Ejecutivo Municipal.</w:t>
      </w:r>
    </w:p>
    <w:p w:rsidR="00000000" w:rsidDel="00000000" w:rsidP="00000000" w:rsidRDefault="00000000" w:rsidRPr="00000000" w14:paraId="0000000E">
      <w:pPr>
        <w:spacing w:after="240" w:before="240" w:line="360" w:lineRule="auto"/>
        <w:jc w:val="both"/>
        <w:rPr/>
      </w:pPr>
      <w:r w:rsidDel="00000000" w:rsidR="00000000" w:rsidRPr="00000000">
        <w:rPr>
          <w:b w:val="1"/>
          <w:bCs w:val="1"/>
          <w:rtl w:val="0"/>
        </w:rPr>
        <w:t xml:space="preserve">ARTÍCULO 8°: </w:t>
      </w:r>
      <w:r w:rsidDel="00000000" w:rsidR="00000000" w:rsidRPr="00000000">
        <w:rPr>
          <w:rtl w:val="0"/>
        </w:rPr>
        <w:t xml:space="preserve">De forma.</w:t>
      </w:r>
    </w:p>
    <w:p w:rsidR="00000000" w:rsidDel="00000000" w:rsidP="00000000" w:rsidRDefault="00000000" w:rsidRPr="00000000" w14:paraId="0000000F">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0">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1">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2">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3">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4">
      <w:pPr>
        <w:spacing w:after="240" w:before="240" w:line="360" w:lineRule="auto"/>
        <w:jc w:val="both"/>
        <w:rPr>
          <w:b w:val="1"/>
          <w:bCs w:val="1"/>
        </w:rPr>
      </w:pPr>
      <w:r w:rsidDel="00000000" w:rsidR="00000000" w:rsidRPr="00000000">
        <w:rPr>
          <w:rtl w:val="0"/>
        </w:rPr>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8">
      <w:pPr>
        <w:spacing w:after="240" w:before="240" w:lineRule="auto"/>
        <w:jc w:val="center"/>
        <w:rPr>
          <w:b w:val="1"/>
          <w:bCs w:val="1"/>
          <w:u w:val="single"/>
        </w:rPr>
      </w:pPr>
      <w:r w:rsidDel="00000000" w:rsidR="00000000" w:rsidRPr="00000000">
        <w:rPr>
          <w:b w:val="1"/>
          <w:bCs w:val="1"/>
          <w:u w:val="single"/>
          <w:rtl w:val="0"/>
        </w:rPr>
        <w:t xml:space="preserve">FUNDAMENTOS</w:t>
      </w:r>
    </w:p>
    <w:p w:rsidR="00000000" w:rsidDel="00000000" w:rsidP="00000000" w:rsidRDefault="00000000" w:rsidRPr="00000000" w14:paraId="00000019">
      <w:pPr>
        <w:spacing w:after="240" w:before="240" w:lineRule="auto"/>
        <w:jc w:val="center"/>
        <w:rPr>
          <w:b w:val="1"/>
          <w:bCs w:val="1"/>
          <w:u w:val="single"/>
        </w:rPr>
      </w:pPr>
      <w:r w:rsidDel="00000000" w:rsidR="00000000" w:rsidRPr="00000000">
        <w:rPr>
          <w:rtl w:val="0"/>
        </w:rPr>
      </w:r>
    </w:p>
    <w:p w:rsidR="00000000" w:rsidDel="00000000" w:rsidP="00000000" w:rsidRDefault="00000000" w:rsidRPr="00000000" w14:paraId="0000001A">
      <w:pPr>
        <w:spacing w:after="320" w:line="360" w:lineRule="auto"/>
        <w:jc w:val="both"/>
        <w:rPr/>
      </w:pPr>
      <w:r w:rsidDel="00000000" w:rsidR="00000000" w:rsidRPr="00000000">
        <w:rPr>
          <w:rtl w:val="0"/>
        </w:rPr>
        <w:t xml:space="preserve">La seguridad pública constituye el reclamo más urgente y sostenido de los vecinos y vecinas del partido de La Plata. No se trata de una percepción subjetiva ni de una preocupación coyuntural: los registros estadísticos disponibles confirman un crecimiento sostenido de los delitos contra la propiedad bajo modalidades violentas —robos a peatones, arrebatos, asaltos en la vía pública— que han quebrado la tranquilidad de barrios enteros y erosionado la confianza de la ciudadanía en la capacidad del Estado para garantizar su protección. Ante este escenario, este Honorable Cuerpo tiene la responsabilidad institucional ineludible de proponer soluciones estructurales, y no meramente paliativos, que ataquen el problema desde su raíz operativa.</w:t>
      </w:r>
    </w:p>
    <w:p w:rsidR="00000000" w:rsidDel="00000000" w:rsidP="00000000" w:rsidRDefault="00000000" w:rsidRPr="00000000" w14:paraId="0000001B">
      <w:pPr>
        <w:spacing w:after="320" w:line="360" w:lineRule="auto"/>
        <w:jc w:val="both"/>
        <w:rPr/>
      </w:pPr>
      <w:r w:rsidDel="00000000" w:rsidR="00000000" w:rsidRPr="00000000">
        <w:rPr>
          <w:rtl w:val="0"/>
        </w:rPr>
        <w:t xml:space="preserve">El presente proyecto de resolución no parte de una especulación teórica ni de una crítica genérica al accionar policial. Se sustenta en un diagnóstico riguroso de la arquitectura institucional de la seguridad en el distrito: el actual modelo, que separa orgánicamente al Comando de Patrullas de las Comisarías Jurisdiccionales, ha agotado su capacidad disuasiva. La estructura del Comando, concebida originalmente para la prevención activa en la vía pública, ha mutado en la práctica cotidiana en un sistema reactivo, saturado por el despacho automático del sistema de emergencias, donde el patrullero transita de evento a evento sin posibilidad de sostener recorridos preventivos planificados. El resultado es que el delito se consuma antes de que el Estado llegue: el patrullero ya no disuade, simplemente registra.</w:t>
      </w:r>
    </w:p>
    <w:p w:rsidR="00000000" w:rsidDel="00000000" w:rsidP="00000000" w:rsidRDefault="00000000" w:rsidRPr="00000000" w14:paraId="0000001C">
      <w:pPr>
        <w:spacing w:after="320" w:line="360" w:lineRule="auto"/>
        <w:jc w:val="both"/>
        <w:rPr/>
      </w:pPr>
      <w:r w:rsidDel="00000000" w:rsidR="00000000" w:rsidRPr="00000000">
        <w:rPr>
          <w:rtl w:val="0"/>
        </w:rPr>
        <w:t xml:space="preserve">Esta arquitectura fragmentada produce además una patología institucional grave: la licuación de responsabilidades. El titular de la comisaría declina su responsabilidad sobre la tasa delictiva de su barrio argumentando que no dispone de móviles propios; el jefe del Comando se desentiende sosteniendo que su función no es territorial. Nadie responde por la cuadra donde ocurrió el robo. Esa brecha de responsabilidad es, precisamente, el espacio que la delincuencia ocupa todos los días.</w:t>
      </w:r>
    </w:p>
    <w:p w:rsidR="00000000" w:rsidDel="00000000" w:rsidP="00000000" w:rsidRDefault="00000000" w:rsidRPr="00000000" w14:paraId="0000001D">
      <w:pPr>
        <w:spacing w:after="320" w:line="360" w:lineRule="auto"/>
        <w:jc w:val="both"/>
        <w:rPr/>
      </w:pPr>
      <w:r w:rsidDel="00000000" w:rsidR="00000000" w:rsidRPr="00000000">
        <w:rPr>
          <w:rtl w:val="0"/>
        </w:rPr>
        <w:t xml:space="preserve">La propuesta contenida en esta resolución apunta a clausurar esa brecha mediante una transformación de fondo: la devolución de todos los recursos logísticos, móviles y personal operativo del Comando de Patrullas a las dieciséis Comisarías Jurisdiccionales del distrito, bajo un modelo moderno de seguridad de proximidad. La comisaría territorial debe volver a ser el centro nervioso de la prevención: el espacio donde convergen el conocimiento fino del mapa barrial del delito, la responsabilidad política sobre la seguridad de cada jurisdicción y los medios materiales para actuar. Solo con esa confluencia es posible hablar de una política de seguridad efectiva y no meramente declarativa.</w:t>
      </w:r>
    </w:p>
    <w:p w:rsidR="00000000" w:rsidDel="00000000" w:rsidP="00000000" w:rsidRDefault="00000000" w:rsidRPr="00000000" w14:paraId="0000001E">
      <w:pPr>
        <w:spacing w:after="320" w:line="360" w:lineRule="auto"/>
        <w:jc w:val="both"/>
        <w:rPr/>
      </w:pPr>
      <w:r w:rsidDel="00000000" w:rsidR="00000000" w:rsidRPr="00000000">
        <w:rPr>
          <w:rtl w:val="0"/>
        </w:rPr>
        <w:t xml:space="preserve">Ahora bien, descentralizar recursos sin planificación inteligente equivale simplemente a redistribuir ineficiencia. Es por ello que este proyecto incorpora un salto cualitativo esencial: la institucionalización formal de una Mesa de Coordinación semanal que siente en una misma mesa a los titulares de las comisarías territoriales junto con los analistas de la Inteligencia Criminal de la Policía Provincial. La prevención científica del delito no puede depender de la intuición ni de la inercia burocrática. Requiere que quienes poseen el conocimiento del territorio trabajen de forma sistemática y coordinada con quienes procesan los datos estratégicos del comportamiento delictivo: horarios, patrones de fuga, modalidades de asalto, zonas de alta reincidencia. De esa articulación emerge el Mapa del Delito dinámico y predictivo que permite orientar los patrullajes donde realmente importa, antes de que ocurra el próximo hecho.</w:t>
      </w:r>
    </w:p>
    <w:p w:rsidR="00000000" w:rsidDel="00000000" w:rsidP="00000000" w:rsidRDefault="00000000" w:rsidRPr="00000000" w14:paraId="0000001F">
      <w:pPr>
        <w:spacing w:after="320" w:line="360" w:lineRule="auto"/>
        <w:jc w:val="both"/>
        <w:rPr/>
      </w:pPr>
      <w:r w:rsidDel="00000000" w:rsidR="00000000" w:rsidRPr="00000000">
        <w:rPr>
          <w:rtl w:val="0"/>
        </w:rPr>
        <w:t xml:space="preserve">La descentralización operativa propuesta no implica resignar la capacidad de coordinación ante situaciones que exceden una jurisdicción. Por el contrario, el proyecto contempla el fortalecimiento del Centro de Operaciones Departamental (COD) con tecnología AVL de geolocalización vehicular, integrado a las cámaras y plataformas del Centro de Operaciones Municipal (COM). Esa integración tecnológica garantiza que el comando superior retenga la capacidad de coordinar dispositivos de bloqueo interjurisdiccional en tiempo real, dotando al sistema de máxima eficacia operativa sin resignar la lógica territorial de proximidad que esta reforma persigue.</w:t>
      </w:r>
    </w:p>
    <w:p w:rsidR="00000000" w:rsidDel="00000000" w:rsidP="00000000" w:rsidRDefault="00000000" w:rsidRPr="00000000" w14:paraId="00000020">
      <w:pPr>
        <w:spacing w:after="320" w:line="360" w:lineRule="auto"/>
        <w:jc w:val="both"/>
        <w:rPr/>
      </w:pPr>
      <w:r w:rsidDel="00000000" w:rsidR="00000000" w:rsidRPr="00000000">
        <w:rPr>
          <w:rtl w:val="0"/>
        </w:rPr>
        <w:t xml:space="preserve">El Departamento Ejecutivo Municipal, como primera autoridad política elegida por el voto popular del distrito, tiene la responsabilidad y la legitimidad para encabezar esta demanda ante el Gobierno de la Provincia de Buenos Aires. La Ley N° 13.482 de Unificación de Normas de las Policías de la Provincia de Buenos Aires establece en su artículo 4° que la organización policial debe adecuarse a las necesidades de la población, facultando al Ministerio de Seguridad provincial a reestructurar los despliegues cuando la realidad territorial lo exija. Ese marco normativo existe; lo que esta resolución reclama es la voluntad política de utilizarlo.</w:t>
      </w:r>
    </w:p>
    <w:p w:rsidR="00000000" w:rsidDel="00000000" w:rsidP="00000000" w:rsidRDefault="00000000" w:rsidRPr="00000000" w14:paraId="00000021">
      <w:pPr>
        <w:spacing w:after="320" w:line="360" w:lineRule="auto"/>
        <w:jc w:val="both"/>
        <w:rPr/>
      </w:pPr>
      <w:r w:rsidDel="00000000" w:rsidR="00000000" w:rsidRPr="00000000">
        <w:rPr>
          <w:rtl w:val="0"/>
        </w:rPr>
        <w:t xml:space="preserve">El presente proyecto encuentra sustento normativo en el artículo 77 del Decreto-Ley 6769/58 —Ley Orgánica de las Municipalidades de la Provincia de Buenos Aires—, que faculta a este Honorable Cuerpo a dictar resoluciones en materias de su competencia. La seguridad de los platenses es, sin duda, una de ellas.</w:t>
      </w:r>
    </w:p>
    <w:p w:rsidR="00000000" w:rsidDel="00000000" w:rsidP="00000000" w:rsidRDefault="00000000" w:rsidRPr="00000000" w14:paraId="00000022">
      <w:pPr>
        <w:spacing w:after="320" w:line="360" w:lineRule="auto"/>
        <w:jc w:val="both"/>
        <w:rPr/>
      </w:pPr>
      <w:r w:rsidDel="00000000" w:rsidR="00000000" w:rsidRPr="00000000">
        <w:rPr>
          <w:rtl w:val="0"/>
        </w:rPr>
        <w:t xml:space="preserve">Por las razones expuestas, se solicita a los señores concejales acompañar con su voto afirmativo el presente proyecto de resolución.</w:t>
      </w:r>
    </w:p>
    <w:p w:rsidR="00000000" w:rsidDel="00000000" w:rsidP="00000000" w:rsidRDefault="00000000" w:rsidRPr="00000000" w14:paraId="00000023">
      <w:pPr>
        <w:spacing w:after="320" w:line="240" w:lineRule="auto"/>
        <w:jc w:val="both"/>
        <w:rPr/>
      </w:pPr>
      <w:r w:rsidDel="00000000" w:rsidR="00000000" w:rsidRPr="00000000">
        <w:rPr>
          <w:rtl w:val="0"/>
        </w:rPr>
      </w:r>
    </w:p>
    <w:p w:rsidR="00000000" w:rsidDel="00000000" w:rsidP="00000000" w:rsidRDefault="00000000" w:rsidRPr="00000000" w14:paraId="00000024">
      <w:pPr>
        <w:spacing w:after="32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sectPr>
      <w:headerReference r:id="rId7" w:type="default"/>
      <w:footerReference r:id="rId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rtl w:val="0"/>
      </w:rPr>
      <w:t xml:space="preserve">Pagina nro: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Heading1"/>
      <w:keepNext w:val="0"/>
      <w:keepLines w:val="0"/>
      <w:spacing w:after="200" w:before="0" w:line="360" w:lineRule="auto"/>
      <w:jc w:val="both"/>
      <w:rPr/>
    </w:pPr>
    <w:bookmarkStart w:colFirst="0" w:colLast="0" w:name="_jxp1l67fr9o5"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